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008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1900"/>
        <w:gridCol w:w="8180"/>
      </w:tblGrid>
      <w:tr>
        <w:tc>
          <w:tcPr>
            <w:tcW w:type="dxa" w:w="19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0"/>
              <w:left w:type="dxa" w:w="0"/>
              <w:bottom w:type="dxa" w:w="0"/>
              <w:right w:type="dxa" w:w="200"/>
            </w:tcMar>
            <w:vAlign w:val="center"/>
          </w:tcPr>
          <w:p>
            <w:pPr>
              <w:jc w:val="center"/>
            </w:pPr>
            <w:r>
              <w:drawing>
                <wp:inline distT="0" distB="0" distL="0" distR="0">
                  <wp:extent cx="1047750" cy="1238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81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B3A6B" w:val="clear"/>
            <w:tcMar>
              <w:top w:type="dxa" w:w="160"/>
              <w:left w:type="dxa" w:w="240"/>
              <w:bottom w:type="dxa" w:w="160"/>
              <w:right w:type="dxa" w:w="240"/>
            </w:tcMar>
          </w:tcPr>
          <w:p>
            <w:pPr>
              <w:spacing w:after="60" w:before="0"/>
            </w:pPr>
            <w:r>
              <w:rPr>
                <w:rFonts w:ascii="Arial" w:cs="Arial" w:eastAsia="Arial" w:hAnsi="Arial"/>
                <w:b/>
                <w:bCs/>
                <w:color w:val="FFFFFF"/>
                <w:sz w:val="44"/>
                <w:szCs w:val="44"/>
              </w:rPr>
              <w:t xml:space="preserve">DR. VIVIAN SMITH-DEL TORO, DBA</w:t>
            </w:r>
          </w:p>
          <w:p>
            <w:pPr>
              <w:spacing w:after="80" w:before="0"/>
            </w:pPr>
            <w:r>
              <w:rPr>
                <w:rFonts w:ascii="Arial" w:cs="Arial" w:eastAsia="Arial" w:hAnsi="Arial"/>
                <w:color w:val="C8972A"/>
                <w:sz w:val="24"/>
                <w:szCs w:val="24"/>
              </w:rPr>
              <w:t xml:space="preserve">Co-Owner &amp; Chief Executive Officer  |  Owner &amp; Managing Broker</w:t>
            </w:r>
          </w:p>
          <w:p>
            <w:pPr>
              <w:spacing w:after="60" w:before="0"/>
            </w:pPr>
            <w:r>
              <w:rPr>
                <w:rFonts w:ascii="Arial" w:cs="Arial" w:eastAsia="Arial" w:hAnsi="Arial"/>
                <w:i/>
                <w:iCs/>
                <w:color w:val="CACED8"/>
                <w:sz w:val="20"/>
                <w:szCs w:val="20"/>
              </w:rPr>
              <w:t xml:space="preserve">Strategic Operations Executive  •  Executive Business Coach  •  Real Estate &amp; Mortgage Leader</w:t>
            </w:r>
          </w:p>
          <w:p>
            <w:pPr>
              <w:spacing w:after="0" w:before="20"/>
            </w:pPr>
            <w:r>
              <w:rPr>
                <w:rFonts w:ascii="Arial" w:cs="Arial" w:eastAsia="Arial" w:hAnsi="Arial"/>
                <w:color w:val="A8B4C8"/>
                <w:sz w:val="18"/>
                <w:szCs w:val="18"/>
              </w:rPr>
              <w:t xml:space="preserve">📍 Chicago, IL  •  📞 (312) 852-8180  •  ✉ drvivian@csuiteparadigm.org  •  linkedin.com/in/viviansmithdeltoro</w:t>
            </w:r>
          </w:p>
        </w:tc>
      </w:tr>
    </w:tbl>
    <w:p>
      <w:pPr>
        <w:spacing w:after="0" w:before="220"/>
      </w:pPr>
    </w:p>
    <w:p>
      <w:pPr>
        <w:spacing w:after="60" w:before="200"/>
      </w:pPr>
      <w:r>
        <w:rPr>
          <w:rFonts w:ascii="Arial" w:cs="Arial" w:eastAsia="Arial" w:hAnsi="Arial"/>
          <w:b/>
          <w:bCs/>
          <w:color w:val="1B3A6B"/>
          <w:spacing w:val="80"/>
          <w:sz w:val="22"/>
          <w:szCs w:val="22"/>
        </w:rPr>
        <w:t xml:space="preserve">EXECUTIVE PROFILE</w:t>
      </w:r>
    </w:p>
    <w:p>
      <w:pPr>
        <w:pBdr>
          <w:bottom w:val="single" w:color="C8972A" w:sz="4" w:space="1"/>
        </w:pBdr>
        <w:spacing w:after="80" w:before="0"/>
      </w:pPr>
    </w:p>
    <w:p>
      <w:pPr>
        <w:spacing w:after="40" w:before="4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Visionary dual-licensed Realtor and Mortgage Loan Originator with 20+ years of multi-site operational leadership across Real Estate, Mortgage Lending, Hospitality, and Food Service. Doctor of Business Administration with a proven record of building high-performing teams, driving incremental revenue growth, and delivering world-class client experiences. Founder of a global executive consultancy, DEI&amp;B champion, and transformational leader recognized for turning around complex operations and expanding market presence across the U.S. and internationally.</w:t>
      </w:r>
    </w:p>
    <w:p>
      <w:pPr>
        <w:spacing w:after="0" w:before="200"/>
      </w:pPr>
    </w:p>
    <w:p>
      <w:pPr>
        <w:spacing w:after="60" w:before="200"/>
      </w:pPr>
      <w:r>
        <w:rPr>
          <w:rFonts w:ascii="Arial" w:cs="Arial" w:eastAsia="Arial" w:hAnsi="Arial"/>
          <w:b/>
          <w:bCs/>
          <w:color w:val="1B3A6B"/>
          <w:spacing w:val="80"/>
          <w:sz w:val="22"/>
          <w:szCs w:val="22"/>
        </w:rPr>
        <w:t xml:space="preserve">CORE COMPETENCIES</w:t>
      </w:r>
    </w:p>
    <w:p>
      <w:pPr>
        <w:pBdr>
          <w:bottom w:val="single" w:color="C8972A" w:sz="4" w:space="1"/>
        </w:pBdr>
        <w:spacing w:after="80" w:before="0"/>
      </w:pPr>
    </w:p>
    <w:tbl>
      <w:tblPr>
        <w:tblW w:type="dxa" w:w="1008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5000"/>
        <w:gridCol w:w="5080"/>
      </w:tblGrid>
      <w:tr>
        <w:tc>
          <w:tcPr>
            <w:tcW w:type="dxa" w:w="50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80"/>
              <w:bottom w:type="dxa" w:w="40"/>
              <w:right w:type="dxa" w:w="80"/>
            </w:tcMar>
          </w:tcPr>
          <w:p>
            <w:pPr>
              <w:pStyle w:val="ListParagraph"/>
              <w:numPr>
                <w:ilvl w:val="0"/>
                <w:numId w:val="2"/>
              </w:numPr>
            </w:pPr>
            <w:r>
              <w:rPr>
                <w:rFonts w:ascii="Arial" w:cs="Arial" w:eastAsia="Arial" w:hAnsi="Arial"/>
                <w:color w:val="1A1A2E"/>
                <w:sz w:val="19"/>
                <w:szCs w:val="19"/>
              </w:rPr>
              <w:t xml:space="preserve">Impact, Action &amp; Organizational Leadership</w:t>
            </w:r>
          </w:p>
        </w:tc>
        <w:tc>
          <w:tcPr>
            <w:tcW w:type="dxa" w:w="50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80"/>
              <w:bottom w:type="dxa" w:w="40"/>
              <w:right w:type="dxa" w:w="80"/>
            </w:tcMar>
          </w:tcPr>
          <w:p>
            <w:pPr>
              <w:pStyle w:val="ListParagraph"/>
              <w:numPr>
                <w:ilvl w:val="0"/>
                <w:numId w:val="2"/>
              </w:numPr>
            </w:pPr>
            <w:r>
              <w:rPr>
                <w:rFonts w:ascii="Arial" w:cs="Arial" w:eastAsia="Arial" w:hAnsi="Arial"/>
                <w:color w:val="1A1A2E"/>
                <w:sz w:val="19"/>
                <w:szCs w:val="19"/>
              </w:rPr>
              <w:t xml:space="preserve">Team Building &amp; Collaborative Leadership</w:t>
            </w:r>
          </w:p>
        </w:tc>
      </w:tr>
      <w:tr>
        <w:tc>
          <w:tcPr>
            <w:tcW w:type="dxa" w:w="50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80"/>
              <w:bottom w:type="dxa" w:w="40"/>
              <w:right w:type="dxa" w:w="80"/>
            </w:tcMar>
          </w:tcPr>
          <w:p>
            <w:pPr>
              <w:pStyle w:val="ListParagraph"/>
              <w:numPr>
                <w:ilvl w:val="0"/>
                <w:numId w:val="2"/>
              </w:numPr>
            </w:pPr>
            <w:r>
              <w:rPr>
                <w:rFonts w:ascii="Arial" w:cs="Arial" w:eastAsia="Arial" w:hAnsi="Arial"/>
                <w:color w:val="1A1A2E"/>
                <w:sz w:val="19"/>
                <w:szCs w:val="19"/>
              </w:rPr>
              <w:t xml:space="preserve">International Multi-Site Operational Leadership</w:t>
            </w:r>
          </w:p>
        </w:tc>
        <w:tc>
          <w:tcPr>
            <w:tcW w:type="dxa" w:w="50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80"/>
              <w:bottom w:type="dxa" w:w="40"/>
              <w:right w:type="dxa" w:w="80"/>
            </w:tcMar>
          </w:tcPr>
          <w:p>
            <w:pPr>
              <w:pStyle w:val="ListParagraph"/>
              <w:numPr>
                <w:ilvl w:val="0"/>
                <w:numId w:val="2"/>
              </w:numPr>
            </w:pPr>
            <w:r>
              <w:rPr>
                <w:rFonts w:ascii="Arial" w:cs="Arial" w:eastAsia="Arial" w:hAnsi="Arial"/>
                <w:color w:val="1A1A2E"/>
                <w:sz w:val="19"/>
                <w:szCs w:val="19"/>
              </w:rPr>
              <w:t xml:space="preserve">Project Management: Scrum/Agile</w:t>
            </w:r>
          </w:p>
        </w:tc>
      </w:tr>
      <w:tr>
        <w:tc>
          <w:tcPr>
            <w:tcW w:type="dxa" w:w="50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80"/>
              <w:bottom w:type="dxa" w:w="40"/>
              <w:right w:type="dxa" w:w="80"/>
            </w:tcMar>
          </w:tcPr>
          <w:p>
            <w:pPr>
              <w:pStyle w:val="ListParagraph"/>
              <w:numPr>
                <w:ilvl w:val="0"/>
                <w:numId w:val="2"/>
              </w:numPr>
            </w:pPr>
            <w:r>
              <w:rPr>
                <w:rFonts w:ascii="Arial" w:cs="Arial" w:eastAsia="Arial" w:hAnsi="Arial"/>
                <w:color w:val="1A1A2E"/>
                <w:sz w:val="19"/>
                <w:szCs w:val="19"/>
              </w:rPr>
              <w:t xml:space="preserve">Change Leadership &amp; Development</w:t>
            </w:r>
          </w:p>
        </w:tc>
        <w:tc>
          <w:tcPr>
            <w:tcW w:type="dxa" w:w="50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80"/>
              <w:bottom w:type="dxa" w:w="40"/>
              <w:right w:type="dxa" w:w="80"/>
            </w:tcMar>
          </w:tcPr>
          <w:p>
            <w:pPr>
              <w:pStyle w:val="ListParagraph"/>
              <w:numPr>
                <w:ilvl w:val="0"/>
                <w:numId w:val="2"/>
              </w:numPr>
            </w:pPr>
            <w:r>
              <w:rPr>
                <w:rFonts w:ascii="Arial" w:cs="Arial" w:eastAsia="Arial" w:hAnsi="Arial"/>
                <w:color w:val="1A1A2E"/>
                <w:sz w:val="19"/>
                <w:szCs w:val="19"/>
              </w:rPr>
              <w:t xml:space="preserve">Commercial Real Estate &amp; Site Selection</w:t>
            </w:r>
          </w:p>
        </w:tc>
      </w:tr>
      <w:tr>
        <w:tc>
          <w:tcPr>
            <w:tcW w:type="dxa" w:w="50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80"/>
              <w:bottom w:type="dxa" w:w="40"/>
              <w:right w:type="dxa" w:w="80"/>
            </w:tcMar>
          </w:tcPr>
          <w:p>
            <w:pPr>
              <w:pStyle w:val="ListParagraph"/>
              <w:numPr>
                <w:ilvl w:val="0"/>
                <w:numId w:val="2"/>
              </w:numPr>
            </w:pPr>
            <w:r>
              <w:rPr>
                <w:rFonts w:ascii="Arial" w:cs="Arial" w:eastAsia="Arial" w:hAnsi="Arial"/>
                <w:color w:val="1A1A2E"/>
                <w:sz w:val="19"/>
                <w:szCs w:val="19"/>
              </w:rPr>
              <w:t xml:space="preserve">Brand Management &amp; Marketing Strategy</w:t>
            </w:r>
          </w:p>
        </w:tc>
        <w:tc>
          <w:tcPr>
            <w:tcW w:type="dxa" w:w="50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80"/>
              <w:bottom w:type="dxa" w:w="40"/>
              <w:right w:type="dxa" w:w="80"/>
            </w:tcMar>
          </w:tcPr>
          <w:p>
            <w:pPr>
              <w:pStyle w:val="ListParagraph"/>
              <w:numPr>
                <w:ilvl w:val="0"/>
                <w:numId w:val="2"/>
              </w:numPr>
            </w:pPr>
            <w:r>
              <w:rPr>
                <w:rFonts w:ascii="Arial" w:cs="Arial" w:eastAsia="Arial" w:hAnsi="Arial"/>
                <w:color w:val="1A1A2E"/>
                <w:sz w:val="19"/>
                <w:szCs w:val="19"/>
              </w:rPr>
              <w:t xml:space="preserve">Business Research &amp; Strategic Analysis</w:t>
            </w:r>
          </w:p>
        </w:tc>
      </w:tr>
      <w:tr>
        <w:tc>
          <w:tcPr>
            <w:tcW w:type="dxa" w:w="50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80"/>
              <w:bottom w:type="dxa" w:w="40"/>
              <w:right w:type="dxa" w:w="80"/>
            </w:tcMar>
          </w:tcPr>
          <w:p>
            <w:pPr>
              <w:pStyle w:val="ListParagraph"/>
              <w:numPr>
                <w:ilvl w:val="0"/>
                <w:numId w:val="2"/>
              </w:numPr>
            </w:pPr>
            <w:r>
              <w:rPr>
                <w:rFonts w:ascii="Arial" w:cs="Arial" w:eastAsia="Arial" w:hAnsi="Arial"/>
                <w:color w:val="1A1A2E"/>
                <w:sz w:val="19"/>
                <w:szCs w:val="19"/>
              </w:rPr>
              <w:t xml:space="preserve">DEI&amp;B Champion &amp; Culture Builder</w:t>
            </w:r>
          </w:p>
        </w:tc>
        <w:tc>
          <w:tcPr>
            <w:tcW w:type="dxa" w:w="50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80"/>
              <w:bottom w:type="dxa" w:w="40"/>
              <w:right w:type="dxa" w:w="80"/>
            </w:tcMar>
          </w:tcPr>
          <w:p>
            <w:pPr>
              <w:pStyle w:val="ListParagraph"/>
              <w:numPr>
                <w:ilvl w:val="0"/>
                <w:numId w:val="2"/>
              </w:numPr>
            </w:pPr>
            <w:r>
              <w:rPr>
                <w:rFonts w:ascii="Arial" w:cs="Arial" w:eastAsia="Arial" w:hAnsi="Arial"/>
                <w:color w:val="1A1A2E"/>
                <w:sz w:val="19"/>
                <w:szCs w:val="19"/>
              </w:rPr>
              <w:t xml:space="preserve">Executive Coaching &amp; Talent Development</w:t>
            </w:r>
          </w:p>
        </w:tc>
      </w:tr>
    </w:tbl>
    <w:p>
      <w:pPr>
        <w:spacing w:after="0" w:before="180"/>
      </w:pPr>
    </w:p>
    <w:p>
      <w:pPr>
        <w:spacing w:after="60" w:before="200"/>
      </w:pPr>
      <w:r>
        <w:rPr>
          <w:rFonts w:ascii="Arial" w:cs="Arial" w:eastAsia="Arial" w:hAnsi="Arial"/>
          <w:b/>
          <w:bCs/>
          <w:color w:val="1B3A6B"/>
          <w:spacing w:val="80"/>
          <w:sz w:val="22"/>
          <w:szCs w:val="22"/>
        </w:rPr>
        <w:t xml:space="preserve">EDUCATION</w:t>
      </w:r>
    </w:p>
    <w:p>
      <w:pPr>
        <w:pBdr>
          <w:bottom w:val="single" w:color="C8972A" w:sz="4" w:space="1"/>
        </w:pBdr>
        <w:spacing w:after="80" w:before="0"/>
      </w:pPr>
    </w:p>
    <w:tbl>
      <w:tblPr>
        <w:tblW w:type="dxa" w:w="1008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6000"/>
        <w:gridCol w:w="4080"/>
      </w:tblGrid>
      <w:tr>
        <w:tc>
          <w:tcPr>
            <w:tcW w:type="dxa" w:w="60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4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1B3A6B"/>
                <w:sz w:val="21"/>
                <w:szCs w:val="21"/>
              </w:rPr>
              <w:t xml:space="preserve">Doctor of Business Administration (DBA)</w:t>
            </w:r>
          </w:p>
        </w:tc>
        <w:tc>
          <w:tcPr>
            <w:tcW w:type="dxa" w:w="40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80"/>
              <w:bottom w:type="dxa" w:w="40"/>
              <w:right w:type="dxa" w:w="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i/>
                <w:iCs/>
                <w:color w:val="666666"/>
                <w:sz w:val="19"/>
                <w:szCs w:val="19"/>
              </w:rPr>
              <w:t xml:space="preserve">University of Phoenix  |  Confirmed 9/30/2020</w:t>
            </w:r>
          </w:p>
        </w:tc>
      </w:tr>
      <w:tr>
        <w:tc>
          <w:tcPr>
            <w:tcW w:type="dxa" w:w="60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30"/>
              <w:left w:type="dxa" w:w="0"/>
              <w:bottom w:type="dxa" w:w="3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1B3A6B"/>
                <w:sz w:val="21"/>
                <w:szCs w:val="21"/>
              </w:rPr>
              <w:t xml:space="preserve">Master of Business Administration (MBA)</w:t>
            </w:r>
          </w:p>
        </w:tc>
        <w:tc>
          <w:tcPr>
            <w:tcW w:type="dxa" w:w="40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30"/>
              <w:left w:type="dxa" w:w="80"/>
              <w:bottom w:type="dxa" w:w="30"/>
              <w:right w:type="dxa" w:w="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i/>
                <w:iCs/>
                <w:color w:val="666666"/>
                <w:sz w:val="19"/>
                <w:szCs w:val="19"/>
              </w:rPr>
              <w:t xml:space="preserve">University of Phoenix</w:t>
            </w:r>
          </w:p>
        </w:tc>
      </w:tr>
      <w:tr>
        <w:tc>
          <w:tcPr>
            <w:tcW w:type="dxa" w:w="60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30"/>
              <w:left w:type="dxa" w:w="0"/>
              <w:bottom w:type="dxa" w:w="3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1B3A6B"/>
                <w:sz w:val="21"/>
                <w:szCs w:val="21"/>
              </w:rPr>
              <w:t xml:space="preserve">Bachelor of Arts (BA)</w:t>
            </w:r>
          </w:p>
        </w:tc>
        <w:tc>
          <w:tcPr>
            <w:tcW w:type="dxa" w:w="40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30"/>
              <w:left w:type="dxa" w:w="80"/>
              <w:bottom w:type="dxa" w:w="30"/>
              <w:right w:type="dxa" w:w="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i/>
                <w:iCs/>
                <w:color w:val="666666"/>
                <w:sz w:val="19"/>
                <w:szCs w:val="19"/>
              </w:rPr>
              <w:t xml:space="preserve">Michigan State University, East Lansing, MI</w:t>
            </w:r>
          </w:p>
        </w:tc>
      </w:tr>
    </w:tbl>
    <w:p>
      <w:pPr>
        <w:spacing w:after="0" w:before="180"/>
      </w:pPr>
    </w:p>
    <w:p>
      <w:pPr>
        <w:spacing w:after="60" w:before="200"/>
      </w:pPr>
      <w:r>
        <w:rPr>
          <w:rFonts w:ascii="Arial" w:cs="Arial" w:eastAsia="Arial" w:hAnsi="Arial"/>
          <w:b/>
          <w:bCs/>
          <w:color w:val="1B3A6B"/>
          <w:spacing w:val="80"/>
          <w:sz w:val="22"/>
          <w:szCs w:val="22"/>
        </w:rPr>
        <w:t xml:space="preserve">PROFESSIONAL EXPERIENCE</w:t>
      </w:r>
    </w:p>
    <w:p>
      <w:pPr>
        <w:pBdr>
          <w:bottom w:val="single" w:color="C8972A" w:sz="4" w:space="1"/>
        </w:pBdr>
        <w:spacing w:after="80" w:before="0"/>
      </w:pPr>
    </w:p>
    <w:p>
      <w:pPr>
        <w:tabs>
          <w:tab w:val="right" w:pos="10080"/>
        </w:tabs>
        <w:spacing w:after="40" w:before="160"/>
      </w:pPr>
      <w:r>
        <w:rPr>
          <w:rFonts w:ascii="Arial" w:cs="Arial" w:eastAsia="Arial" w:hAnsi="Arial"/>
          <w:b/>
          <w:bCs/>
          <w:color w:val="1B3A6B"/>
          <w:sz w:val="22"/>
          <w:szCs w:val="22"/>
        </w:rPr>
        <w:t xml:space="preserve">American Financial Real Estate &amp; Loans (AFRE)</w:t>
      </w:r>
      <w:r>
        <w:rPr>
          <w:rFonts w:ascii="Arial" w:cs="Arial" w:eastAsia="Arial" w:hAnsi="Arial"/>
          <w:color w:val="C8972A"/>
          <w:sz w:val="22"/>
          <w:szCs w:val="22"/>
        </w:rPr>
        <w:t xml:space="preserve">  |  </w:t>
      </w:r>
      <w:r>
        <w:rPr>
          <w:rFonts w:ascii="Arial" w:cs="Arial" w:eastAsia="Arial" w:hAnsi="Arial"/>
          <w:b/>
          <w:bCs/>
          <w:color w:val="1A1A2E"/>
          <w:sz w:val="22"/>
          <w:szCs w:val="22"/>
        </w:rPr>
        <w:t xml:space="preserve">Co-Owner, CEO &amp; Managing Broker</w:t>
      </w:r>
      <w:r>
        <w:rPr>
          <w:rFonts w:ascii="Arial" w:cs="Arial" w:eastAsia="Arial" w:hAnsi="Arial"/>
          <w:sz w:val="22"/>
          <w:szCs w:val="22"/>
        </w:rPr>
        <w:t xml:space="preserve">	</w:t>
      </w:r>
      <w:r>
        <w:rPr>
          <w:rFonts w:ascii="Arial" w:cs="Arial" w:eastAsia="Arial" w:hAnsi="Arial"/>
          <w:i/>
          <w:iCs/>
          <w:color w:val="666666"/>
          <w:sz w:val="20"/>
          <w:szCs w:val="20"/>
        </w:rPr>
        <w:t xml:space="preserve">2014 – Present</w:t>
      </w:r>
    </w:p>
    <w:p>
      <w:pPr>
        <w:spacing w:after="40" w:before="0"/>
      </w:pPr>
      <w:r>
        <w:rPr>
          <w:rFonts w:ascii="Arial" w:cs="Arial" w:eastAsia="Arial" w:hAnsi="Arial"/>
          <w:i/>
          <w:iCs/>
          <w:color w:val="555555"/>
          <w:sz w:val="20"/>
          <w:szCs w:val="20"/>
        </w:rPr>
        <w:t xml:space="preserve">Full-service real estate brokerage and mortgage company | IL, IN, NC, SC</w:t>
      </w:r>
    </w:p>
    <w:p>
      <w:pPr>
        <w:pStyle w:val="ListParagraph"/>
        <w:numPr>
          <w:ilvl w:val="0"/>
          <w:numId w:val="2"/>
        </w:numPr>
        <w:spacing w:after="30" w:before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Dual-licensed Realtor and Mortgage Loan Originator — expert in residential, commercial, land development, leasing, and government-funded sales transactions.</w:t>
      </w:r>
    </w:p>
    <w:p>
      <w:pPr>
        <w:pStyle w:val="ListParagraph"/>
        <w:numPr>
          <w:ilvl w:val="0"/>
          <w:numId w:val="2"/>
        </w:numPr>
        <w:spacing w:after="30" w:before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Drives business development, sales strategy, and agent recruitment across multiple states, building a culture of excellence and high performance.</w:t>
      </w:r>
    </w:p>
    <w:p>
      <w:pPr>
        <w:pStyle w:val="ListParagraph"/>
        <w:numPr>
          <w:ilvl w:val="0"/>
          <w:numId w:val="2"/>
        </w:numPr>
        <w:spacing w:after="30" w:before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Leads contract negotiation, housing market analysis, and client advocacy to deliver stress-free, high-value real estate transactions.</w:t>
      </w:r>
    </w:p>
    <w:p>
      <w:pPr>
        <w:pStyle w:val="ListParagraph"/>
        <w:numPr>
          <w:ilvl w:val="0"/>
          <w:numId w:val="2"/>
        </w:numPr>
        <w:spacing w:after="30" w:before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Oversees executive coaching initiatives, lending partnerships, and proprietary credit approval programs to expand client access and agent productivity.</w:t>
      </w:r>
    </w:p>
    <w:p>
      <w:pPr>
        <w:tabs>
          <w:tab w:val="right" w:pos="10080"/>
        </w:tabs>
        <w:spacing w:after="40" w:before="160"/>
      </w:pPr>
      <w:r>
        <w:rPr>
          <w:rFonts w:ascii="Arial" w:cs="Arial" w:eastAsia="Arial" w:hAnsi="Arial"/>
          <w:b/>
          <w:bCs/>
          <w:color w:val="1B3A6B"/>
          <w:sz w:val="22"/>
          <w:szCs w:val="22"/>
        </w:rPr>
        <w:t xml:space="preserve">QDOBA Restaurants / Butterfly Equity</w:t>
      </w:r>
      <w:r>
        <w:rPr>
          <w:rFonts w:ascii="Arial" w:cs="Arial" w:eastAsia="Arial" w:hAnsi="Arial"/>
          <w:color w:val="C8972A"/>
          <w:sz w:val="22"/>
          <w:szCs w:val="22"/>
        </w:rPr>
        <w:t xml:space="preserve">  |  </w:t>
      </w:r>
      <w:r>
        <w:rPr>
          <w:rFonts w:ascii="Arial" w:cs="Arial" w:eastAsia="Arial" w:hAnsi="Arial"/>
          <w:b/>
          <w:bCs/>
          <w:color w:val="1A1A2E"/>
          <w:sz w:val="22"/>
          <w:szCs w:val="22"/>
        </w:rPr>
        <w:t xml:space="preserve">Regional Director of Operations</w:t>
      </w:r>
      <w:r>
        <w:rPr>
          <w:rFonts w:ascii="Arial" w:cs="Arial" w:eastAsia="Arial" w:hAnsi="Arial"/>
          <w:sz w:val="22"/>
          <w:szCs w:val="22"/>
        </w:rPr>
        <w:t xml:space="preserve">	</w:t>
      </w:r>
      <w:r>
        <w:rPr>
          <w:rFonts w:ascii="Arial" w:cs="Arial" w:eastAsia="Arial" w:hAnsi="Arial"/>
          <w:i/>
          <w:iCs/>
          <w:color w:val="666666"/>
          <w:sz w:val="20"/>
          <w:szCs w:val="20"/>
        </w:rPr>
        <w:t xml:space="preserve">2021 – 2023</w:t>
      </w:r>
    </w:p>
    <w:p>
      <w:pPr>
        <w:spacing w:after="40" w:before="0"/>
      </w:pPr>
      <w:r>
        <w:rPr>
          <w:rFonts w:ascii="Arial" w:cs="Arial" w:eastAsia="Arial" w:hAnsi="Arial"/>
          <w:i/>
          <w:iCs/>
          <w:color w:val="555555"/>
          <w:sz w:val="20"/>
          <w:szCs w:val="20"/>
        </w:rPr>
        <w:t xml:space="preserve">$78M region  |  8 District Managers, 52 locations, 1,400 team members</w:t>
      </w:r>
    </w:p>
    <w:p>
      <w:pPr>
        <w:pStyle w:val="ListParagraph"/>
        <w:numPr>
          <w:ilvl w:val="0"/>
          <w:numId w:val="2"/>
        </w:numPr>
        <w:spacing w:after="30" w:before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Enlisted by COO as Turn-Around Change Agent; reduced team turnover 100% in 6 months through targeted DEI&amp;B strategy and culture transformation.</w:t>
      </w:r>
    </w:p>
    <w:p>
      <w:pPr>
        <w:pStyle w:val="ListParagraph"/>
        <w:numPr>
          <w:ilvl w:val="0"/>
          <w:numId w:val="2"/>
        </w:numPr>
        <w:spacing w:after="30" w:before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Repositioned regional financial trajectory: Sales YOY +11%, 45% Flow Through for FY22 Budget via disciplined operational execution and SOPs.</w:t>
      </w:r>
    </w:p>
    <w:p>
      <w:pPr>
        <w:pStyle w:val="ListParagraph"/>
        <w:numPr>
          <w:ilvl w:val="0"/>
          <w:numId w:val="2"/>
        </w:numPr>
        <w:spacing w:after="30" w:before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Led 6 remodels, 1 new restaurant opening, 5 franchise sales, and 3 divestitures.</w:t>
      </w:r>
    </w:p>
    <w:p>
      <w:pPr>
        <w:pStyle w:val="ListParagraph"/>
        <w:numPr>
          <w:ilvl w:val="0"/>
          <w:numId w:val="2"/>
        </w:numPr>
        <w:spacing w:after="30" w:before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Delivered quarterly C-Suite and Board of Directors presentations to CEO, COO, CFO, CPO.</w:t>
      </w:r>
    </w:p>
    <w:p>
      <w:pPr>
        <w:tabs>
          <w:tab w:val="right" w:pos="10080"/>
        </w:tabs>
        <w:spacing w:after="40" w:before="160"/>
      </w:pPr>
      <w:r>
        <w:rPr>
          <w:rFonts w:ascii="Arial" w:cs="Arial" w:eastAsia="Arial" w:hAnsi="Arial"/>
          <w:b/>
          <w:bCs/>
          <w:color w:val="1B3A6B"/>
          <w:sz w:val="22"/>
          <w:szCs w:val="22"/>
        </w:rPr>
        <w:t xml:space="preserve">Panera, LLC</w:t>
      </w:r>
      <w:r>
        <w:rPr>
          <w:rFonts w:ascii="Arial" w:cs="Arial" w:eastAsia="Arial" w:hAnsi="Arial"/>
          <w:color w:val="C8972A"/>
          <w:sz w:val="22"/>
          <w:szCs w:val="22"/>
        </w:rPr>
        <w:t xml:space="preserve">  |  </w:t>
      </w:r>
      <w:r>
        <w:rPr>
          <w:rFonts w:ascii="Arial" w:cs="Arial" w:eastAsia="Arial" w:hAnsi="Arial"/>
          <w:b/>
          <w:bCs/>
          <w:color w:val="1A1A2E"/>
          <w:sz w:val="22"/>
          <w:szCs w:val="22"/>
        </w:rPr>
        <w:t xml:space="preserve">Director, Area Operating Partner</w:t>
      </w:r>
      <w:r>
        <w:rPr>
          <w:rFonts w:ascii="Arial" w:cs="Arial" w:eastAsia="Arial" w:hAnsi="Arial"/>
          <w:sz w:val="22"/>
          <w:szCs w:val="22"/>
        </w:rPr>
        <w:t xml:space="preserve">	</w:t>
      </w:r>
      <w:r>
        <w:rPr>
          <w:rFonts w:ascii="Arial" w:cs="Arial" w:eastAsia="Arial" w:hAnsi="Arial"/>
          <w:i/>
          <w:iCs/>
          <w:color w:val="666666"/>
          <w:sz w:val="20"/>
          <w:szCs w:val="20"/>
        </w:rPr>
        <w:t xml:space="preserve">2018 – 2020</w:t>
      </w:r>
    </w:p>
    <w:p>
      <w:pPr>
        <w:spacing w:after="40" w:before="0"/>
      </w:pPr>
      <w:r>
        <w:rPr>
          <w:rFonts w:ascii="Arial" w:cs="Arial" w:eastAsia="Arial" w:hAnsi="Arial"/>
          <w:i/>
          <w:iCs/>
          <w:color w:val="555555"/>
          <w:sz w:val="20"/>
          <w:szCs w:val="20"/>
        </w:rPr>
        <w:t xml:space="preserve">$135M region  |  9 District Managers, 89 restaurants</w:t>
      </w:r>
    </w:p>
    <w:p>
      <w:pPr>
        <w:pStyle w:val="ListParagraph"/>
        <w:numPr>
          <w:ilvl w:val="0"/>
          <w:numId w:val="2"/>
        </w:numPr>
        <w:spacing w:after="30" w:before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Achieved 10% sales increase, 5.4% EBITDA YOY, 3 new restaurant openings, and 5 remodels.</w:t>
      </w:r>
    </w:p>
    <w:p>
      <w:pPr>
        <w:pStyle w:val="ListParagraph"/>
        <w:numPr>
          <w:ilvl w:val="0"/>
          <w:numId w:val="2"/>
        </w:numPr>
        <w:spacing w:after="30" w:before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Created 'Building Great Leaders Series' — reduced team turnover from 198% to 90%; management turnover from 48% to 0%.</w:t>
      </w:r>
    </w:p>
    <w:p>
      <w:pPr>
        <w:pStyle w:val="ListParagraph"/>
        <w:numPr>
          <w:ilvl w:val="0"/>
          <w:numId w:val="2"/>
        </w:numPr>
        <w:spacing w:after="30" w:before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Built a Real Estate Investment &amp; Economic Decision Model (PESTELE analysis) for a 5-year 'Real Estate Strategy 2.0,' saving $100M and improving ROI/ROE.</w:t>
      </w:r>
    </w:p>
    <w:p>
      <w:pPr>
        <w:pStyle w:val="ListParagraph"/>
        <w:numPr>
          <w:ilvl w:val="0"/>
          <w:numId w:val="2"/>
        </w:numPr>
        <w:spacing w:after="30" w:before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Ranked #1 company-wide, improving Food Safety Unannounced Audits from 93% to 98%.</w:t>
      </w:r>
    </w:p>
    <w:p>
      <w:pPr>
        <w:tabs>
          <w:tab w:val="right" w:pos="10080"/>
        </w:tabs>
        <w:spacing w:after="40" w:before="160"/>
      </w:pPr>
      <w:r>
        <w:rPr>
          <w:rFonts w:ascii="Arial" w:cs="Arial" w:eastAsia="Arial" w:hAnsi="Arial"/>
          <w:b/>
          <w:bCs/>
          <w:color w:val="1B3A6B"/>
          <w:sz w:val="22"/>
          <w:szCs w:val="22"/>
        </w:rPr>
        <w:t xml:space="preserve">ARAMARK</w:t>
      </w:r>
      <w:r>
        <w:rPr>
          <w:rFonts w:ascii="Arial" w:cs="Arial" w:eastAsia="Arial" w:hAnsi="Arial"/>
          <w:color w:val="C8972A"/>
          <w:sz w:val="22"/>
          <w:szCs w:val="22"/>
        </w:rPr>
        <w:t xml:space="preserve">  |  </w:t>
      </w:r>
      <w:r>
        <w:rPr>
          <w:rFonts w:ascii="Arial" w:cs="Arial" w:eastAsia="Arial" w:hAnsi="Arial"/>
          <w:b/>
          <w:bCs/>
          <w:color w:val="1A1A2E"/>
          <w:sz w:val="22"/>
          <w:szCs w:val="22"/>
        </w:rPr>
        <w:t xml:space="preserve">Regional Vice President Designate – New Business</w:t>
      </w:r>
      <w:r>
        <w:rPr>
          <w:rFonts w:ascii="Arial" w:cs="Arial" w:eastAsia="Arial" w:hAnsi="Arial"/>
          <w:sz w:val="22"/>
          <w:szCs w:val="22"/>
        </w:rPr>
        <w:t xml:space="preserve">	</w:t>
      </w:r>
      <w:r>
        <w:rPr>
          <w:rFonts w:ascii="Arial" w:cs="Arial" w:eastAsia="Arial" w:hAnsi="Arial"/>
          <w:i/>
          <w:iCs/>
          <w:color w:val="666666"/>
          <w:sz w:val="20"/>
          <w:szCs w:val="20"/>
        </w:rPr>
        <w:t xml:space="preserve">2016 – 2018</w:t>
      </w:r>
    </w:p>
    <w:p>
      <w:pPr>
        <w:spacing w:after="40" w:before="0"/>
      </w:pPr>
      <w:r>
        <w:rPr>
          <w:rFonts w:ascii="Arial" w:cs="Arial" w:eastAsia="Arial" w:hAnsi="Arial"/>
          <w:i/>
          <w:iCs/>
          <w:color w:val="555555"/>
          <w:sz w:val="20"/>
          <w:szCs w:val="20"/>
        </w:rPr>
        <w:t xml:space="preserve">$90M contract volume  |  35 clients, 90 locations</w:t>
      </w:r>
    </w:p>
    <w:p>
      <w:pPr>
        <w:pStyle w:val="ListParagraph"/>
        <w:numPr>
          <w:ilvl w:val="0"/>
          <w:numId w:val="2"/>
        </w:numPr>
        <w:spacing w:after="30" w:before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Attained 98% client retention via Client Lifecycle Optimization; developed 3 General Managers to District Managers.</w:t>
      </w:r>
    </w:p>
    <w:p>
      <w:pPr>
        <w:pStyle w:val="ListParagraph"/>
        <w:numPr>
          <w:ilvl w:val="0"/>
          <w:numId w:val="2"/>
        </w:numPr>
        <w:spacing w:after="30" w:before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Expanded operations, securing $32M in new Food Service, Catering, and Restaurant contracts.</w:t>
      </w:r>
    </w:p>
    <w:p>
      <w:pPr>
        <w:tabs>
          <w:tab w:val="right" w:pos="10080"/>
        </w:tabs>
        <w:spacing w:after="40" w:before="160"/>
      </w:pPr>
      <w:r>
        <w:rPr>
          <w:rFonts w:ascii="Arial" w:cs="Arial" w:eastAsia="Arial" w:hAnsi="Arial"/>
          <w:b/>
          <w:bCs/>
          <w:color w:val="1B3A6B"/>
          <w:sz w:val="22"/>
          <w:szCs w:val="22"/>
        </w:rPr>
        <w:t xml:space="preserve">Sodexo Global</w:t>
      </w:r>
      <w:r>
        <w:rPr>
          <w:rFonts w:ascii="Arial" w:cs="Arial" w:eastAsia="Arial" w:hAnsi="Arial"/>
          <w:color w:val="C8972A"/>
          <w:sz w:val="22"/>
          <w:szCs w:val="22"/>
        </w:rPr>
        <w:t xml:space="preserve">  |  </w:t>
      </w:r>
      <w:r>
        <w:rPr>
          <w:rFonts w:ascii="Arial" w:cs="Arial" w:eastAsia="Arial" w:hAnsi="Arial"/>
          <w:b/>
          <w:bCs/>
          <w:color w:val="1A1A2E"/>
          <w:sz w:val="22"/>
          <w:szCs w:val="22"/>
        </w:rPr>
        <w:t xml:space="preserve">Vice President of Operations &amp; DEI Champion</w:t>
      </w:r>
      <w:r>
        <w:rPr>
          <w:rFonts w:ascii="Arial" w:cs="Arial" w:eastAsia="Arial" w:hAnsi="Arial"/>
          <w:sz w:val="22"/>
          <w:szCs w:val="22"/>
        </w:rPr>
        <w:t xml:space="preserve">	</w:t>
      </w:r>
      <w:r>
        <w:rPr>
          <w:rFonts w:ascii="Arial" w:cs="Arial" w:eastAsia="Arial" w:hAnsi="Arial"/>
          <w:i/>
          <w:iCs/>
          <w:color w:val="666666"/>
          <w:sz w:val="20"/>
          <w:szCs w:val="20"/>
        </w:rPr>
        <w:t xml:space="preserve">2011 – 2016</w:t>
      </w:r>
    </w:p>
    <w:p>
      <w:pPr>
        <w:spacing w:after="40" w:before="0"/>
      </w:pPr>
      <w:r>
        <w:rPr>
          <w:rFonts w:ascii="Arial" w:cs="Arial" w:eastAsia="Arial" w:hAnsi="Arial"/>
          <w:i/>
          <w:iCs/>
          <w:color w:val="555555"/>
          <w:sz w:val="20"/>
          <w:szCs w:val="20"/>
        </w:rPr>
        <w:t xml:space="preserve">$350M contract volume  |  9 District Managers, 105 General Managers, 95 Corporate Chefs, 1,500+ team members</w:t>
      </w:r>
    </w:p>
    <w:p>
      <w:pPr>
        <w:pStyle w:val="ListParagraph"/>
        <w:numPr>
          <w:ilvl w:val="0"/>
          <w:numId w:val="2"/>
        </w:numPr>
        <w:spacing w:after="30" w:before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Recruited by CEO to lead $350M food service, hospitality, and integrated facilities portfolio across 280 locations and 74 corporate clients including 28 Fortune 500 companies.</w:t>
      </w:r>
    </w:p>
    <w:p>
      <w:pPr>
        <w:pStyle w:val="ListParagraph"/>
        <w:numPr>
          <w:ilvl w:val="0"/>
          <w:numId w:val="2"/>
        </w:numPr>
        <w:spacing w:after="30" w:before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Achieved 98% client retention with comp sales growth of 7–11% for 4 consecutive years; improved EBITDA 15% YOY.</w:t>
      </w:r>
    </w:p>
    <w:p>
      <w:pPr>
        <w:pStyle w:val="ListParagraph"/>
        <w:numPr>
          <w:ilvl w:val="0"/>
          <w:numId w:val="2"/>
        </w:numPr>
        <w:spacing w:after="30" w:before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Re-negotiated underperforming contracts achieving 22% profit margin improvement; awarded $43M in new contracts including $10M international (Ireland &amp; India).</w:t>
      </w:r>
    </w:p>
    <w:p>
      <w:pPr>
        <w:pStyle w:val="ListParagraph"/>
        <w:numPr>
          <w:ilvl w:val="0"/>
          <w:numId w:val="2"/>
        </w:numPr>
        <w:spacing w:after="30" w:before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Managed global accounts: Allstate, AbbVie, Bank of America, Capital One, Delta Airlines, Federal Reserve Bank, GE Healthcare, Kraft Heinz, United Airlines, and 50+ additional Fortune 500/1000 clients.</w:t>
      </w:r>
    </w:p>
    <w:p>
      <w:pPr>
        <w:pStyle w:val="ListParagraph"/>
        <w:numPr>
          <w:ilvl w:val="0"/>
          <w:numId w:val="2"/>
        </w:numPr>
        <w:spacing w:after="30" w:before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Chaired Sodexo's 10th Annual Diversity &amp; Inclusion Summit — saved $1M; led DEI consultancy for C-Suite leaders across 70+ contracts.</w:t>
      </w:r>
    </w:p>
    <w:p>
      <w:pPr>
        <w:spacing w:after="0" w:before="180"/>
      </w:pPr>
    </w:p>
    <w:p>
      <w:pPr>
        <w:spacing w:after="60" w:before="200"/>
      </w:pPr>
      <w:r>
        <w:rPr>
          <w:rFonts w:ascii="Arial" w:cs="Arial" w:eastAsia="Arial" w:hAnsi="Arial"/>
          <w:b/>
          <w:bCs/>
          <w:color w:val="1B3A6B"/>
          <w:spacing w:val="80"/>
          <w:sz w:val="22"/>
          <w:szCs w:val="22"/>
        </w:rPr>
        <w:t xml:space="preserve">BOARD LEADERSHIP &amp; CONSULTING</w:t>
      </w:r>
    </w:p>
    <w:p>
      <w:pPr>
        <w:pBdr>
          <w:bottom w:val="single" w:color="C8972A" w:sz="4" w:space="1"/>
        </w:pBdr>
        <w:spacing w:after="80" w:before="0"/>
      </w:pPr>
    </w:p>
    <w:p>
      <w:pPr>
        <w:pStyle w:val="ListParagraph"/>
        <w:numPr>
          <w:ilvl w:val="0"/>
          <w:numId w:val="2"/>
        </w:numPr>
        <w:spacing w:after="30" w:before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Founder &amp; Board Chair — C-Suite Paradigm / Global Executive Business Consultants (csuiteparadigm.org)  |  2016–Present</w:t>
      </w:r>
    </w:p>
    <w:p>
      <w:pPr>
        <w:pStyle w:val="ListParagraph"/>
        <w:numPr>
          <w:ilvl w:val="0"/>
          <w:numId w:val="2"/>
        </w:numPr>
        <w:spacing w:after="30" w:before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Board of Directors &amp; Vice Chair — Women's Centers International  |  2020–2022</w:t>
      </w:r>
    </w:p>
    <w:p>
      <w:pPr>
        <w:pStyle w:val="ListParagraph"/>
        <w:numPr>
          <w:ilvl w:val="0"/>
          <w:numId w:val="2"/>
        </w:numPr>
        <w:spacing w:after="30" w:before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Chief Operations Officers (COO) Business Forum  |  2012–2020</w:t>
      </w:r>
    </w:p>
    <w:p>
      <w:pPr>
        <w:pStyle w:val="ListParagraph"/>
        <w:numPr>
          <w:ilvl w:val="0"/>
          <w:numId w:val="2"/>
        </w:numPr>
        <w:spacing w:after="30" w:before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Board of Directors — All Chicago: Making Homelessness History  |  2012–2020</w:t>
      </w:r>
    </w:p>
    <w:p>
      <w:pPr>
        <w:pStyle w:val="ListParagraph"/>
        <w:numPr>
          <w:ilvl w:val="0"/>
          <w:numId w:val="2"/>
        </w:numPr>
        <w:spacing w:after="30" w:before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Board of Directors — Chicagoland Chamber of Commerce; Chairperson, Workplace Well-Being Committee  |  2013–2015</w:t>
      </w:r>
    </w:p>
    <w:p>
      <w:pPr>
        <w:spacing w:after="0" w:before="120"/>
      </w:pPr>
    </w:p>
    <w:p>
      <w:pPr>
        <w:pBdr>
          <w:bottom w:val="single" w:color="C8972A" w:sz="4" w:space="1"/>
        </w:pBdr>
        <w:spacing w:after="80" w:before="0"/>
      </w:pPr>
    </w:p>
    <w:p>
      <w:pPr>
        <w:spacing w:after="0" w:before="80"/>
        <w:jc w:val="center"/>
      </w:pPr>
      <w:r>
        <w:rPr>
          <w:rFonts w:ascii="Arial" w:cs="Arial" w:eastAsia="Arial" w:hAnsi="Arial"/>
          <w:i/>
          <w:iCs/>
          <w:color w:val="888888"/>
          <w:sz w:val="17"/>
          <w:szCs w:val="17"/>
        </w:rPr>
        <w:t xml:space="preserve">American Financial Real Estate &amp; Loans  •  amfinancialre.com  •  (312) 852-8180  •  drvivian@csuiteparadigm.org</w:t>
      </w:r>
    </w:p>
    <w:sectPr>
      <w:pgSz w:w="12240" w:h="15840" w:orient="portrait"/>
      <w:pgMar w:top="720" w:right="1080" w:bottom="72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▸"/>
      <w:lvlJc w:val="left"/>
      <w:pPr>
        <w:ind w:left="480" w:hanging="28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A1A2E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image" Target="media/e9b6a54471c669f67459b49903bd7b8111cfc83f.jpg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2026-04-14T11:08:48.230Z</dcterms:created>
  <dcterms:modified xsi:type="dcterms:W3CDTF">2026-04-14T11:08:48.231Z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